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46" w:rsidRPr="006159BF" w:rsidRDefault="00F00D3D" w:rsidP="00F00D3D">
      <w:pPr>
        <w:ind w:firstLineChars="150" w:firstLine="540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F00D3D">
        <w:rPr>
          <w:rFonts w:ascii="Arial Unicode MS" w:eastAsia="Arial Unicode MS" w:hAnsi="Arial Unicode MS" w:cs="Arial Unicode MS" w:hint="eastAsia"/>
          <w:b/>
          <w:sz w:val="36"/>
          <w:szCs w:val="36"/>
        </w:rPr>
        <w:t>考伯斯（江苏）炭素化工有限</w:t>
      </w:r>
      <w:r w:rsidR="00EA1546" w:rsidRPr="006159BF">
        <w:rPr>
          <w:rFonts w:ascii="Arial Unicode MS" w:eastAsia="Arial Unicode MS" w:hAnsi="Arial Unicode MS" w:cs="Arial Unicode MS" w:hint="eastAsia"/>
          <w:b/>
          <w:sz w:val="36"/>
          <w:szCs w:val="36"/>
        </w:rPr>
        <w:t>公司简介</w:t>
      </w:r>
    </w:p>
    <w:p w:rsidR="009D6CE7" w:rsidRPr="006159BF" w:rsidRDefault="009D6CE7" w:rsidP="009D6CE7">
      <w:pPr>
        <w:ind w:firstLineChars="150" w:firstLine="420"/>
        <w:rPr>
          <w:rFonts w:ascii="Arial Unicode MS" w:eastAsia="Arial Unicode MS" w:hAnsi="Arial Unicode MS" w:cs="Arial Unicode MS"/>
          <w:sz w:val="28"/>
          <w:szCs w:val="28"/>
        </w:rPr>
      </w:pPr>
      <w:r w:rsidRPr="006159BF">
        <w:rPr>
          <w:rFonts w:ascii="Arial Unicode MS" w:eastAsia="Arial Unicode MS" w:hAnsi="Arial Unicode MS" w:cs="Arial Unicode MS"/>
          <w:sz w:val="28"/>
          <w:szCs w:val="28"/>
        </w:rPr>
        <w:t>考伯斯（江苏）炭素化工有限公司由KOPPERS International B.V 公司（以下简称KOPPERS）与沂州集团有限公司共同出资组建，其中KOPPERS出资75%，沂州集团出资25%。公司位于江苏省邳州市经济开发区煤焦化产业园平果西路。</w:t>
      </w:r>
    </w:p>
    <w:p w:rsidR="009D6CE7" w:rsidRPr="006159BF" w:rsidRDefault="009D6CE7" w:rsidP="009D6CE7">
      <w:pPr>
        <w:ind w:firstLineChars="150" w:firstLine="420"/>
        <w:rPr>
          <w:rFonts w:ascii="Arial Unicode MS" w:eastAsia="Arial Unicode MS" w:hAnsi="Arial Unicode MS" w:cs="Arial Unicode MS"/>
          <w:sz w:val="28"/>
          <w:szCs w:val="28"/>
        </w:rPr>
      </w:pPr>
      <w:r w:rsidRPr="006159BF">
        <w:rPr>
          <w:rFonts w:ascii="Arial Unicode MS" w:eastAsia="Arial Unicode MS" w:hAnsi="Arial Unicode MS" w:cs="Arial Unicode MS"/>
          <w:sz w:val="28"/>
          <w:szCs w:val="28"/>
        </w:rPr>
        <w:t>KOPPERS是美国著名的煤焦油深加工的跨国公司，是世界上最大的煤焦油生产商和销售商，其煤焦油深加工技术全球领先，煤焦油总处理量位于世界第一位，达210万吨。焦油处理厂分布于北美、欧洲、澳大利亚和中国，下游客户为铝业、碳电极、橡胶、轮胎、铁路等。总部位于美国宾西法尼亚州的匹斯堡。</w:t>
      </w:r>
    </w:p>
    <w:p w:rsidR="009D6CE7" w:rsidRPr="006159BF" w:rsidRDefault="009D6CE7" w:rsidP="009D6CE7">
      <w:pPr>
        <w:ind w:firstLineChars="150" w:firstLine="420"/>
        <w:rPr>
          <w:rFonts w:ascii="Arial Unicode MS" w:eastAsia="Arial Unicode MS" w:hAnsi="Arial Unicode MS" w:cs="Arial Unicode MS"/>
          <w:sz w:val="28"/>
          <w:szCs w:val="28"/>
        </w:rPr>
      </w:pPr>
      <w:r w:rsidRPr="006159BF">
        <w:rPr>
          <w:rFonts w:ascii="Arial Unicode MS" w:eastAsia="Arial Unicode MS" w:hAnsi="Arial Unicode MS" w:cs="Arial Unicode MS"/>
          <w:sz w:val="28"/>
          <w:szCs w:val="28"/>
        </w:rPr>
        <w:t>考伯斯（江苏）炭素化工有限公司，总投资8000万美元，规划用地面积168亩，于2013年2月开工建设，年处理焦油能力30万吨。原料焦油主要由沂州集团提供，生产的软沥青长期供给日本新日铁化学公司生产针状焦及炭黑油，很好地解决了资源整合和环境污染问题，同时提高了产品的附加值，从而获得良好的经济效益，在增长了公司循环经济产业链的同时也增加了集团市场竞争力。</w:t>
      </w:r>
    </w:p>
    <w:p w:rsidR="007B3276" w:rsidRDefault="009D6CE7" w:rsidP="009D6CE7">
      <w:pPr>
        <w:ind w:firstLineChars="150" w:firstLine="420"/>
        <w:rPr>
          <w:rFonts w:ascii="Arial Unicode MS" w:eastAsia="Arial Unicode MS" w:hAnsi="Arial Unicode MS" w:cs="Arial Unicode MS" w:hint="eastAsia"/>
          <w:sz w:val="28"/>
          <w:szCs w:val="28"/>
        </w:rPr>
      </w:pPr>
      <w:r w:rsidRPr="006159BF">
        <w:rPr>
          <w:rFonts w:ascii="Arial Unicode MS" w:eastAsia="Arial Unicode MS" w:hAnsi="Arial Unicode MS" w:cs="Arial Unicode MS"/>
          <w:sz w:val="28"/>
          <w:szCs w:val="28"/>
        </w:rPr>
        <w:t>公司坚持最高的道德、合规和透明化标准，以人为本，努力营造一个互相信任和协商的工作环境，充分挖掘、开发和增强员工的个人能力。同时公司为员工提供具有竞争力的薪资和福利待遇，愉悦的工作环境及平衡的工作生活，使员工获得个人发展与职业发展的双重提升。</w:t>
      </w:r>
    </w:p>
    <w:p w:rsidR="00407D4E" w:rsidRDefault="00407D4E" w:rsidP="009D6CE7">
      <w:pPr>
        <w:ind w:firstLineChars="150" w:firstLine="420"/>
        <w:rPr>
          <w:rFonts w:ascii="Arial Unicode MS" w:eastAsia="Arial Unicode MS" w:hAnsi="Arial Unicode MS" w:cs="Arial Unicode MS" w:hint="eastAsia"/>
          <w:sz w:val="28"/>
          <w:szCs w:val="28"/>
        </w:rPr>
      </w:pPr>
    </w:p>
    <w:p w:rsidR="00407D4E" w:rsidRDefault="00407D4E" w:rsidP="009D6CE7">
      <w:pPr>
        <w:ind w:firstLineChars="150" w:firstLine="420"/>
        <w:rPr>
          <w:rFonts w:ascii="Arial Unicode MS" w:eastAsia="Arial Unicode MS" w:hAnsi="Arial Unicode MS" w:cs="Arial Unicode MS" w:hint="eastAsia"/>
          <w:sz w:val="28"/>
          <w:szCs w:val="28"/>
        </w:rPr>
      </w:pPr>
    </w:p>
    <w:p w:rsidR="00407D4E" w:rsidRDefault="00407D4E" w:rsidP="009D6CE7">
      <w:pPr>
        <w:ind w:firstLineChars="150" w:firstLine="420"/>
        <w:rPr>
          <w:rFonts w:ascii="Arial Unicode MS" w:eastAsia="Arial Unicode MS" w:hAnsi="Arial Unicode MS" w:cs="Arial Unicode MS" w:hint="eastAsia"/>
          <w:sz w:val="28"/>
          <w:szCs w:val="28"/>
        </w:rPr>
      </w:pPr>
    </w:p>
    <w:p w:rsidR="00407D4E" w:rsidRDefault="00407D4E" w:rsidP="009D6CE7">
      <w:pPr>
        <w:ind w:firstLineChars="150" w:firstLine="420"/>
        <w:rPr>
          <w:rFonts w:ascii="Arial Unicode MS" w:eastAsia="Arial Unicode MS" w:hAnsi="Arial Unicode MS" w:cs="Arial Unicode MS" w:hint="eastAsia"/>
          <w:sz w:val="28"/>
          <w:szCs w:val="28"/>
        </w:rPr>
      </w:pPr>
    </w:p>
    <w:p w:rsidR="00407D4E" w:rsidRDefault="00407D4E" w:rsidP="009D6CE7">
      <w:pPr>
        <w:ind w:firstLineChars="150" w:firstLine="420"/>
        <w:rPr>
          <w:rFonts w:ascii="Arial Unicode MS" w:eastAsia="Arial Unicode MS" w:hAnsi="Arial Unicode MS" w:cs="Arial Unicode MS" w:hint="eastAsia"/>
          <w:sz w:val="28"/>
          <w:szCs w:val="28"/>
        </w:rPr>
      </w:pPr>
    </w:p>
    <w:p w:rsidR="00407D4E" w:rsidRPr="00722B5B" w:rsidRDefault="00407D4E" w:rsidP="00407D4E">
      <w:pPr>
        <w:jc w:val="center"/>
        <w:outlineLvl w:val="0"/>
        <w:rPr>
          <w:rFonts w:ascii="黑体" w:eastAsia="黑体" w:hint="eastAsia"/>
          <w:b/>
          <w:sz w:val="44"/>
          <w:szCs w:val="44"/>
        </w:rPr>
      </w:pPr>
      <w:r w:rsidRPr="00722B5B">
        <w:rPr>
          <w:rFonts w:ascii="黑体" w:eastAsia="黑体" w:hint="eastAsia"/>
          <w:b/>
          <w:sz w:val="44"/>
          <w:szCs w:val="44"/>
        </w:rPr>
        <w:lastRenderedPageBreak/>
        <w:t>考伯斯（江苏）炭素化工有限公司</w:t>
      </w:r>
    </w:p>
    <w:p w:rsidR="00407D4E" w:rsidRDefault="00407D4E" w:rsidP="00407D4E">
      <w:pPr>
        <w:jc w:val="center"/>
        <w:outlineLvl w:val="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Koppers(</w:t>
      </w:r>
      <w:smartTag w:uri="urn:schemas-microsoft-com:office:smarttags" w:element="place">
        <w:smartTag w:uri="urn:schemas-microsoft-com:office:smarttags" w:element="State">
          <w:r>
            <w:rPr>
              <w:rFonts w:ascii="宋体" w:hAnsi="宋体" w:hint="eastAsia"/>
              <w:b/>
              <w:sz w:val="32"/>
              <w:szCs w:val="32"/>
            </w:rPr>
            <w:t>Jiangsu</w:t>
          </w:r>
        </w:smartTag>
      </w:smartTag>
      <w:r>
        <w:rPr>
          <w:rFonts w:ascii="宋体" w:hAnsi="宋体" w:hint="eastAsia"/>
          <w:b/>
          <w:sz w:val="32"/>
          <w:szCs w:val="32"/>
        </w:rPr>
        <w:t>)Carbon and Chemical Co.,Limited</w:t>
      </w:r>
    </w:p>
    <w:p w:rsidR="00407D4E" w:rsidRPr="00722B5B" w:rsidRDefault="00407D4E" w:rsidP="00407D4E">
      <w:pPr>
        <w:jc w:val="center"/>
        <w:outlineLvl w:val="0"/>
        <w:rPr>
          <w:rFonts w:ascii="宋体" w:hAnsi="宋体" w:hint="eastAsia"/>
          <w:b/>
          <w:sz w:val="32"/>
          <w:szCs w:val="32"/>
        </w:rPr>
      </w:pPr>
      <w:r w:rsidRPr="00722B5B">
        <w:rPr>
          <w:rFonts w:ascii="宋体" w:hAnsi="宋体" w:hint="eastAsia"/>
          <w:b/>
          <w:sz w:val="32"/>
          <w:szCs w:val="32"/>
        </w:rPr>
        <w:t>质控部岗位</w:t>
      </w:r>
      <w:r>
        <w:rPr>
          <w:rFonts w:ascii="宋体" w:hAnsi="宋体" w:hint="eastAsia"/>
          <w:b/>
          <w:sz w:val="32"/>
          <w:szCs w:val="32"/>
        </w:rPr>
        <w:t>职责</w:t>
      </w:r>
      <w:r w:rsidRPr="00722B5B">
        <w:rPr>
          <w:rFonts w:ascii="宋体" w:hAnsi="宋体" w:hint="eastAsia"/>
          <w:b/>
          <w:sz w:val="32"/>
          <w:szCs w:val="32"/>
        </w:rPr>
        <w:t>说明书</w:t>
      </w:r>
    </w:p>
    <w:p w:rsidR="00407D4E" w:rsidRPr="004F388E" w:rsidRDefault="00407D4E" w:rsidP="00407D4E">
      <w:pPr>
        <w:jc w:val="center"/>
        <w:outlineLvl w:val="0"/>
        <w:rPr>
          <w:rFonts w:ascii="黑体" w:eastAsia="黑体"/>
          <w:b/>
          <w:sz w:val="32"/>
          <w:szCs w:val="32"/>
        </w:rPr>
      </w:pP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24"/>
        <w:gridCol w:w="3030"/>
        <w:gridCol w:w="3036"/>
      </w:tblGrid>
      <w:tr w:rsidR="00407D4E" w:rsidRPr="00012A47" w:rsidTr="002769D2">
        <w:trPr>
          <w:trHeight w:val="567"/>
          <w:jc w:val="center"/>
        </w:trPr>
        <w:tc>
          <w:tcPr>
            <w:tcW w:w="30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7D4E" w:rsidRPr="00012A47" w:rsidRDefault="00407D4E" w:rsidP="002769D2">
            <w:pPr>
              <w:spacing w:line="360" w:lineRule="auto"/>
              <w:rPr>
                <w:rFonts w:eastAsia="楷体_GB2312"/>
                <w:bCs/>
              </w:rPr>
            </w:pPr>
            <w:r w:rsidRPr="00012A47">
              <w:rPr>
                <w:rFonts w:eastAsia="楷体_GB2312" w:hint="eastAsia"/>
                <w:b/>
                <w:bCs/>
              </w:rPr>
              <w:t>岗位名称：</w:t>
            </w:r>
            <w:r>
              <w:rPr>
                <w:rFonts w:eastAsia="楷体_GB2312" w:hint="eastAsia"/>
                <w:b/>
                <w:bCs/>
              </w:rPr>
              <w:t>化验员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07D4E" w:rsidRPr="00012A47" w:rsidRDefault="00407D4E" w:rsidP="002769D2">
            <w:pPr>
              <w:spacing w:line="360" w:lineRule="auto"/>
              <w:rPr>
                <w:rFonts w:eastAsia="楷体_GB2312"/>
                <w:b/>
                <w:bCs/>
              </w:rPr>
            </w:pPr>
            <w:r w:rsidRPr="00012A47">
              <w:rPr>
                <w:rFonts w:eastAsia="楷体_GB2312" w:hint="eastAsia"/>
                <w:b/>
                <w:bCs/>
              </w:rPr>
              <w:t>所在部门：</w:t>
            </w:r>
            <w:r w:rsidRPr="006A1D3E">
              <w:rPr>
                <w:rFonts w:eastAsia="楷体_GB2312" w:hint="eastAsia"/>
                <w:b/>
                <w:bCs/>
              </w:rPr>
              <w:t>质控部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407D4E" w:rsidRPr="00012A47" w:rsidRDefault="00407D4E" w:rsidP="002769D2">
            <w:pPr>
              <w:spacing w:line="360" w:lineRule="auto"/>
              <w:rPr>
                <w:rFonts w:eastAsia="楷体_GB2312"/>
                <w:b/>
                <w:bCs/>
              </w:rPr>
            </w:pPr>
            <w:r w:rsidRPr="00012A47">
              <w:rPr>
                <w:rFonts w:eastAsia="楷体_GB2312" w:hint="eastAsia"/>
                <w:b/>
                <w:bCs/>
              </w:rPr>
              <w:t>岗位编号：</w:t>
            </w:r>
            <w:r>
              <w:rPr>
                <w:rFonts w:eastAsia="楷体_GB2312" w:hint="eastAsia"/>
                <w:b/>
                <w:bCs/>
              </w:rPr>
              <w:t>012</w:t>
            </w:r>
          </w:p>
        </w:tc>
      </w:tr>
      <w:tr w:rsidR="00407D4E" w:rsidRPr="00012A47" w:rsidTr="002769D2">
        <w:trPr>
          <w:trHeight w:hRule="exact" w:val="6279"/>
          <w:jc w:val="center"/>
        </w:trPr>
        <w:tc>
          <w:tcPr>
            <w:tcW w:w="90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0" w:firstLine="0"/>
              <w:rPr>
                <w:rFonts w:ascii="Times New Roman" w:eastAsia="楷体_GB2312" w:hAnsi="Times New Roman"/>
                <w:kern w:val="2"/>
                <w:sz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1"/>
                <w:szCs w:val="21"/>
                <w:lang w:eastAsia="zh-CN"/>
              </w:rPr>
              <w:t>职责</w:t>
            </w:r>
            <w:r w:rsidRPr="00012A47">
              <w:rPr>
                <w:rFonts w:ascii="Times New Roman" w:eastAsia="楷体_GB2312" w:hAnsi="Times New Roman" w:hint="eastAsia"/>
                <w:b/>
                <w:bCs/>
                <w:sz w:val="21"/>
                <w:szCs w:val="21"/>
                <w:lang w:eastAsia="zh-CN"/>
              </w:rPr>
              <w:t>概述：</w:t>
            </w:r>
          </w:p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/>
                <w:kern w:val="2"/>
                <w:sz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kern w:val="2"/>
                <w:sz w:val="21"/>
                <w:lang w:eastAsia="zh-CN"/>
              </w:rPr>
              <w:t>1.</w:t>
            </w:r>
            <w:r>
              <w:rPr>
                <w:rFonts w:ascii="Times New Roman" w:eastAsia="楷体_GB2312" w:hAnsi="Times New Roman" w:hint="eastAsia"/>
                <w:kern w:val="2"/>
                <w:sz w:val="21"/>
                <w:lang w:eastAsia="zh-CN"/>
              </w:rPr>
              <w:t>严格遵守法律法规和</w:t>
            </w:r>
            <w:r>
              <w:rPr>
                <w:rFonts w:ascii="Times New Roman" w:eastAsia="楷体_GB2312" w:hAnsi="Times New Roman" w:hint="eastAsia"/>
                <w:kern w:val="2"/>
                <w:sz w:val="21"/>
                <w:lang w:eastAsia="zh-CN"/>
              </w:rPr>
              <w:t>Koppers</w:t>
            </w:r>
            <w:r>
              <w:rPr>
                <w:rFonts w:ascii="Times New Roman" w:eastAsia="楷体_GB2312" w:hAnsi="Times New Roman" w:hint="eastAsia"/>
                <w:kern w:val="2"/>
                <w:sz w:val="21"/>
                <w:lang w:eastAsia="zh-CN"/>
              </w:rPr>
              <w:t>企业最高的道德标准，遵守公司制度及严格遵守、执行公司安全管理制度。</w:t>
            </w:r>
          </w:p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参与建立公司质量管理体系中的计划、组织、实施与控制工作。</w:t>
            </w:r>
          </w:p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根据本部门主管的要求，对公司原料、中间产品、产品实施全程质量监控。发现问题及时解决并上报。</w:t>
            </w:r>
          </w:p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4.</w:t>
            </w: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严格按照操作规程进行检验，检验结果准确、及时。</w:t>
            </w:r>
          </w:p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5.</w:t>
            </w: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认真填写分析记录出具分析检验报告，对出具的数据负责。</w:t>
            </w:r>
          </w:p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6.</w:t>
            </w: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按仪器设备管理规定对仪器设备进行定期维护、清洁和校验。</w:t>
            </w:r>
          </w:p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7.</w:t>
            </w: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保持工作区域卫生的干净整洁。</w:t>
            </w:r>
          </w:p>
          <w:p w:rsidR="00407D4E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8.</w:t>
            </w:r>
            <w:r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  <w:t>完成领导交办的其他工作任务。</w:t>
            </w:r>
          </w:p>
          <w:p w:rsidR="00407D4E" w:rsidRPr="00F213C6" w:rsidRDefault="00407D4E" w:rsidP="002769D2">
            <w:pPr>
              <w:pStyle w:val="a6"/>
              <w:tabs>
                <w:tab w:val="left" w:pos="1106"/>
              </w:tabs>
              <w:spacing w:line="300" w:lineRule="auto"/>
              <w:ind w:left="359" w:hangingChars="171" w:hanging="359"/>
              <w:rPr>
                <w:rFonts w:ascii="Times New Roman" w:eastAsia="楷体_GB2312" w:hAnsi="Times New Roman" w:hint="eastAsia"/>
                <w:bCs/>
                <w:sz w:val="21"/>
                <w:szCs w:val="21"/>
                <w:lang w:eastAsia="zh-CN"/>
              </w:rPr>
            </w:pPr>
          </w:p>
        </w:tc>
      </w:tr>
    </w:tbl>
    <w:p w:rsidR="00407D4E" w:rsidRDefault="00407D4E" w:rsidP="00407D4E"/>
    <w:p w:rsidR="00407D4E" w:rsidRPr="008F31C9" w:rsidRDefault="00407D4E" w:rsidP="00407D4E">
      <w:pPr>
        <w:jc w:val="center"/>
        <w:rPr>
          <w:rFonts w:ascii="楷体" w:eastAsia="楷体" w:hAnsi="楷体" w:hint="eastAsia"/>
          <w:b/>
          <w:sz w:val="28"/>
        </w:rPr>
      </w:pPr>
      <w:r>
        <w:br w:type="page"/>
      </w:r>
      <w:r w:rsidRPr="008F31C9">
        <w:rPr>
          <w:rFonts w:ascii="楷体" w:eastAsia="楷体" w:hAnsi="楷体"/>
          <w:b/>
          <w:sz w:val="32"/>
        </w:rPr>
        <w:lastRenderedPageBreak/>
        <w:t>薪资福利</w:t>
      </w:r>
    </w:p>
    <w:p w:rsidR="00407D4E" w:rsidRPr="008F31C9" w:rsidRDefault="00407D4E" w:rsidP="00407D4E">
      <w:pPr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1.</w:t>
      </w:r>
      <w:r w:rsidRPr="008F31C9">
        <w:rPr>
          <w:rFonts w:ascii="楷体" w:eastAsia="楷体" w:hAnsi="楷体" w:hint="eastAsia"/>
          <w:sz w:val="28"/>
        </w:rPr>
        <w:t>实习期间</w:t>
      </w:r>
      <w:r>
        <w:rPr>
          <w:rFonts w:ascii="楷体" w:eastAsia="楷体" w:hAnsi="楷体" w:hint="eastAsia"/>
          <w:sz w:val="28"/>
        </w:rPr>
        <w:t>月</w:t>
      </w:r>
      <w:r w:rsidRPr="008F31C9">
        <w:rPr>
          <w:rFonts w:ascii="楷体" w:eastAsia="楷体" w:hAnsi="楷体" w:hint="eastAsia"/>
          <w:sz w:val="28"/>
        </w:rPr>
        <w:t>薪2000-2500</w:t>
      </w:r>
      <w:r>
        <w:rPr>
          <w:rFonts w:ascii="楷体" w:eastAsia="楷体" w:hAnsi="楷体" w:hint="eastAsia"/>
          <w:sz w:val="28"/>
        </w:rPr>
        <w:t>。签订正式合同后缴纳五险一金，月薪3500；</w:t>
      </w:r>
    </w:p>
    <w:p w:rsidR="00407D4E" w:rsidRPr="008F31C9" w:rsidRDefault="00407D4E" w:rsidP="00407D4E">
      <w:pPr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2.</w:t>
      </w:r>
      <w:r w:rsidRPr="008F31C9">
        <w:rPr>
          <w:rFonts w:ascii="楷体" w:eastAsia="楷体" w:hAnsi="楷体" w:hint="eastAsia"/>
          <w:sz w:val="28"/>
        </w:rPr>
        <w:t>完善的后勤保障，包括免费的工作餐、通勤车以及</w:t>
      </w:r>
      <w:r>
        <w:rPr>
          <w:rFonts w:ascii="楷体" w:eastAsia="楷体" w:hAnsi="楷体" w:hint="eastAsia"/>
          <w:sz w:val="28"/>
        </w:rPr>
        <w:t>员工</w:t>
      </w:r>
      <w:r w:rsidRPr="008F31C9">
        <w:rPr>
          <w:rFonts w:ascii="楷体" w:eastAsia="楷体" w:hAnsi="楷体" w:hint="eastAsia"/>
          <w:sz w:val="28"/>
        </w:rPr>
        <w:t>宿舍等；</w:t>
      </w:r>
    </w:p>
    <w:p w:rsidR="00407D4E" w:rsidRPr="008F31C9" w:rsidRDefault="00407D4E" w:rsidP="00407D4E">
      <w:pPr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3.</w:t>
      </w:r>
      <w:r w:rsidRPr="008F31C9">
        <w:rPr>
          <w:rFonts w:ascii="楷体" w:eastAsia="楷体" w:hAnsi="楷体"/>
          <w:sz w:val="28"/>
        </w:rPr>
        <w:t>弹性的工作制度</w:t>
      </w:r>
      <w:r w:rsidRPr="008F31C9">
        <w:rPr>
          <w:rFonts w:ascii="楷体" w:eastAsia="楷体" w:hAnsi="楷体" w:hint="eastAsia"/>
          <w:sz w:val="28"/>
        </w:rPr>
        <w:t>，</w:t>
      </w:r>
      <w:r w:rsidRPr="008F31C9">
        <w:rPr>
          <w:rFonts w:ascii="楷体" w:eastAsia="楷体" w:hAnsi="楷体"/>
          <w:sz w:val="28"/>
        </w:rPr>
        <w:t>享受国家法定节假日及带薪年休假</w:t>
      </w:r>
      <w:r w:rsidRPr="008F31C9">
        <w:rPr>
          <w:rFonts w:ascii="楷体" w:eastAsia="楷体" w:hAnsi="楷体" w:hint="eastAsia"/>
          <w:sz w:val="28"/>
        </w:rPr>
        <w:t>；</w:t>
      </w:r>
    </w:p>
    <w:p w:rsidR="00407D4E" w:rsidRPr="008F31C9" w:rsidRDefault="00407D4E" w:rsidP="00407D4E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4.</w:t>
      </w:r>
      <w:r w:rsidRPr="008F31C9">
        <w:rPr>
          <w:rFonts w:ascii="楷体" w:eastAsia="楷体" w:hAnsi="楷体"/>
          <w:sz w:val="28"/>
        </w:rPr>
        <w:t>其他企业福利</w:t>
      </w:r>
      <w:r w:rsidRPr="008F31C9">
        <w:rPr>
          <w:rFonts w:ascii="楷体" w:eastAsia="楷体" w:hAnsi="楷体" w:hint="eastAsia"/>
          <w:sz w:val="28"/>
        </w:rPr>
        <w:t>，</w:t>
      </w:r>
      <w:r w:rsidRPr="008F31C9">
        <w:rPr>
          <w:rFonts w:ascii="楷体" w:eastAsia="楷体" w:hAnsi="楷体"/>
          <w:sz w:val="28"/>
        </w:rPr>
        <w:t>如加班补助</w:t>
      </w:r>
      <w:r w:rsidRPr="008F31C9">
        <w:rPr>
          <w:rFonts w:ascii="楷体" w:eastAsia="楷体" w:hAnsi="楷体" w:hint="eastAsia"/>
          <w:sz w:val="28"/>
        </w:rPr>
        <w:t>、在岗体检、节日福利</w:t>
      </w:r>
      <w:r>
        <w:rPr>
          <w:rFonts w:ascii="楷体" w:eastAsia="楷体" w:hAnsi="楷体" w:hint="eastAsia"/>
          <w:sz w:val="28"/>
        </w:rPr>
        <w:t>、在岗培训</w:t>
      </w:r>
      <w:r w:rsidRPr="008F31C9">
        <w:rPr>
          <w:rFonts w:ascii="楷体" w:eastAsia="楷体" w:hAnsi="楷体" w:hint="eastAsia"/>
          <w:sz w:val="28"/>
        </w:rPr>
        <w:t>等。</w:t>
      </w:r>
    </w:p>
    <w:p w:rsidR="00407D4E" w:rsidRPr="00407D4E" w:rsidRDefault="00407D4E" w:rsidP="009D6CE7">
      <w:pPr>
        <w:ind w:firstLineChars="150" w:firstLine="420"/>
        <w:rPr>
          <w:rFonts w:ascii="Arial Unicode MS" w:eastAsia="Arial Unicode MS" w:hAnsi="Arial Unicode MS" w:cs="Arial Unicode MS"/>
          <w:sz w:val="28"/>
          <w:szCs w:val="28"/>
        </w:rPr>
      </w:pPr>
    </w:p>
    <w:sectPr w:rsidR="00407D4E" w:rsidRPr="00407D4E" w:rsidSect="00EA154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79" w:rsidRDefault="00C80979" w:rsidP="009D6CE7">
      <w:r>
        <w:separator/>
      </w:r>
    </w:p>
  </w:endnote>
  <w:endnote w:type="continuationSeparator" w:id="1">
    <w:p w:rsidR="00C80979" w:rsidRDefault="00C80979" w:rsidP="009D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79" w:rsidRDefault="00C80979" w:rsidP="009D6CE7">
      <w:r>
        <w:separator/>
      </w:r>
    </w:p>
  </w:footnote>
  <w:footnote w:type="continuationSeparator" w:id="1">
    <w:p w:rsidR="00C80979" w:rsidRDefault="00C80979" w:rsidP="009D6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46" w:rsidRDefault="00EA1546" w:rsidP="00EA1546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820"/>
      </w:tabs>
    </w:pPr>
    <w:r>
      <w:rPr>
        <w:noProof/>
      </w:rPr>
      <w:drawing>
        <wp:inline distT="0" distB="0" distL="0" distR="0">
          <wp:extent cx="1609725" cy="590550"/>
          <wp:effectExtent l="19050" t="0" r="9525" b="0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            </w:t>
    </w:r>
    <w:r>
      <w:rPr>
        <w:b/>
        <w:i/>
        <w:noProof/>
      </w:rPr>
      <w:drawing>
        <wp:inline distT="0" distB="0" distL="0" distR="0">
          <wp:extent cx="3524250" cy="533400"/>
          <wp:effectExtent l="0" t="0" r="0" b="0"/>
          <wp:docPr id="2" name="对象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5508347" cy="884473"/>
                    <a:chOff x="0" y="0"/>
                    <a:chExt cx="5508347" cy="884473"/>
                  </a:xfrm>
                </a:grpSpPr>
                <a:sp>
                  <a:nvSpPr>
                    <a:cNvPr id="1162" name="Text Box 138"/>
                    <a:cNvSpPr txBox="1">
                      <a:spLocks noChangeArrowheads="1"/>
                    </a:cNvSpPr>
                  </a:nvSpPr>
                  <a:spPr bwMode="auto">
                    <a:xfrm>
                      <a:off x="0" y="0"/>
                      <a:ext cx="5508347" cy="88447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a:spPr>
                  <a:txSp>
                    <a:txBody>
                      <a:bodyPr wrap="square" lIns="91440" tIns="45720" rIns="91440" bIns="45720" anchor="t" upright="1">
                        <a:spAutoFit/>
                      </a:bodyPr>
                      <a:lstStyle>
                        <a:lvl1pPr marL="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indent="0">
                          <a:defRPr sz="1100"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marL="0" marR="0" indent="0" algn="l" defTabSz="914400" rtl="1" eaLnBrk="1" fontAlgn="auto" latinLnBrk="0" hangingPunct="1">
                          <a:lnSpc>
                            <a:spcPct val="100000"/>
                          </a:lnSpc>
                          <a:spcBef>
                            <a:spcPts val="0"/>
                          </a:spcBef>
                          <a:spcAft>
                            <a:spcPts val="0"/>
                          </a:spcAft>
                          <a:buClrTx/>
                          <a:buSzTx/>
                          <a:buFontTx/>
                          <a:buNone/>
                          <a:tabLst/>
                          <a:defRPr sz="1000"/>
                        </a:pPr>
                        <a:r>
                          <a:rPr lang="en-US" sz="1800" b="1" i="0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  <a:cs typeface="+mn-cs"/>
                          </a:rPr>
                          <a:t>Koppers</a:t>
                        </a:r>
                        <a:r>
                          <a:rPr lang="zh-CN" altLang="en-US" sz="1800" b="1" i="0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  <a:cs typeface="+mn-cs"/>
                          </a:rPr>
                          <a:t>（</a:t>
                        </a:r>
                        <a:r>
                          <a:rPr lang="en-US" sz="1800" b="1" i="0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  <a:cs typeface="+mn-cs"/>
                          </a:rPr>
                          <a:t>Jiangsu</a:t>
                        </a:r>
                        <a:r>
                          <a:rPr lang="zh-CN" altLang="en-US" sz="1800" b="1" i="0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  <a:cs typeface="+mn-cs"/>
                          </a:rPr>
                          <a:t>）</a:t>
                        </a:r>
                        <a:r>
                          <a:rPr lang="en-US" sz="1800" b="1" i="0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  <a:cs typeface="+mn-cs"/>
                          </a:rPr>
                          <a:t>Carbon Chemical Co.,Ltd.</a:t>
                        </a:r>
                        <a:endParaRPr lang="en-US" sz="1800" b="0" i="0">
                          <a:solidFill>
                            <a:srgbClr val="0070C0"/>
                          </a:solidFill>
                          <a:latin typeface="微软雅黑" pitchFamily="34" charset="-122"/>
                          <a:ea typeface="微软雅黑" pitchFamily="34" charset="-122"/>
                          <a:cs typeface="+mn-cs"/>
                        </a:endParaRPr>
                      </a:p>
                      <a:p>
                        <a:pPr algn="ctr" rtl="1">
                          <a:defRPr sz="1000"/>
                        </a:pPr>
                        <a:r>
                          <a:rPr lang="zh-CN" altLang="en-US" sz="1800" b="1" i="0" strike="noStrike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</a:rPr>
                          <a:t>考伯斯</a:t>
                        </a:r>
                        <a:r>
                          <a:rPr lang="en-US" altLang="zh-CN" sz="1800" b="1" i="0" strike="noStrike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</a:rPr>
                          <a:t>(</a:t>
                        </a:r>
                        <a:r>
                          <a:rPr lang="zh-CN" altLang="en-US" sz="1800" b="1" i="0" strike="noStrike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</a:rPr>
                          <a:t>江苏</a:t>
                        </a:r>
                        <a:r>
                          <a:rPr lang="en-US" altLang="zh-CN" sz="1800" b="1" i="0" strike="noStrike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</a:rPr>
                          <a:t>)</a:t>
                        </a:r>
                        <a:r>
                          <a:rPr lang="zh-CN" altLang="en-US" sz="1800" b="1" i="0" strike="noStrike">
                            <a:solidFill>
                              <a:srgbClr val="0070C0"/>
                            </a:solidFill>
                            <a:latin typeface="微软雅黑" pitchFamily="34" charset="-122"/>
                            <a:ea typeface="微软雅黑" pitchFamily="34" charset="-122"/>
                          </a:rPr>
                          <a:t>炭素化工有限公司</a:t>
                        </a:r>
                        <a:endParaRPr lang="en-US" altLang="zh-CN" sz="1800" b="1" i="0" strike="noStrike">
                          <a:solidFill>
                            <a:srgbClr val="0070C0"/>
                          </a:solidFill>
                          <a:latin typeface="微软雅黑" pitchFamily="34" charset="-122"/>
                          <a:ea typeface="微软雅黑" pitchFamily="34" charset="-122"/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inline>
      </w:drawing>
    </w:r>
  </w:p>
  <w:p w:rsidR="00EA1546" w:rsidRDefault="00EA1546" w:rsidP="00965E0A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CE7"/>
    <w:rsid w:val="000E6490"/>
    <w:rsid w:val="00407D4E"/>
    <w:rsid w:val="00520AE2"/>
    <w:rsid w:val="006159BF"/>
    <w:rsid w:val="006211EC"/>
    <w:rsid w:val="007B3276"/>
    <w:rsid w:val="007F76B2"/>
    <w:rsid w:val="008349A7"/>
    <w:rsid w:val="0083796C"/>
    <w:rsid w:val="0092793B"/>
    <w:rsid w:val="00965E0A"/>
    <w:rsid w:val="009D6CE7"/>
    <w:rsid w:val="00C80979"/>
    <w:rsid w:val="00D2759E"/>
    <w:rsid w:val="00E60020"/>
    <w:rsid w:val="00EA1546"/>
    <w:rsid w:val="00F00D3D"/>
    <w:rsid w:val="00F623CF"/>
    <w:rsid w:val="00F9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C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15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1546"/>
    <w:rPr>
      <w:sz w:val="18"/>
      <w:szCs w:val="18"/>
    </w:rPr>
  </w:style>
  <w:style w:type="paragraph" w:styleId="a6">
    <w:name w:val="List"/>
    <w:basedOn w:val="a"/>
    <w:rsid w:val="00407D4E"/>
    <w:pPr>
      <w:widowControl/>
      <w:ind w:left="360" w:hanging="360"/>
      <w:jc w:val="left"/>
    </w:pPr>
    <w:rPr>
      <w:rFonts w:ascii="Arial" w:eastAsia="宋体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gxs</cp:lastModifiedBy>
  <cp:revision>5</cp:revision>
  <dcterms:created xsi:type="dcterms:W3CDTF">2014-01-07T06:33:00Z</dcterms:created>
  <dcterms:modified xsi:type="dcterms:W3CDTF">2014-12-22T00:24:00Z</dcterms:modified>
</cp:coreProperties>
</file>